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85C" w:rsidRPr="001E185C" w:rsidRDefault="001E185C" w:rsidP="001E185C">
      <w:pPr>
        <w:widowControl/>
        <w:shd w:val="clear" w:color="auto" w:fill="FFFFFF"/>
        <w:jc w:val="center"/>
        <w:outlineLvl w:val="0"/>
        <w:rPr>
          <w:rFonts w:ascii="微软雅黑" w:eastAsia="微软雅黑" w:hAnsi="微软雅黑" w:cs="宋体"/>
          <w:b/>
          <w:bCs/>
          <w:color w:val="4B4B4B"/>
          <w:kern w:val="36"/>
          <w:sz w:val="22"/>
        </w:rPr>
      </w:pPr>
      <w:r w:rsidRPr="001E185C">
        <w:rPr>
          <w:rFonts w:ascii="微软雅黑" w:eastAsia="微软雅黑" w:hAnsi="微软雅黑" w:cs="宋体" w:hint="eastAsia"/>
          <w:b/>
          <w:bCs/>
          <w:color w:val="4B4B4B"/>
          <w:kern w:val="36"/>
          <w:sz w:val="22"/>
        </w:rPr>
        <w:t>教育部关于一流本科课程建设的实施意见</w:t>
      </w:r>
    </w:p>
    <w:p w:rsidR="001E185C" w:rsidRPr="001E185C" w:rsidRDefault="001E185C" w:rsidP="001E185C">
      <w:pPr>
        <w:widowControl/>
        <w:shd w:val="clear" w:color="auto" w:fill="FFFFFF"/>
        <w:spacing w:before="322"/>
        <w:jc w:val="righ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教高〔2019〕8号</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各省、自治区、直辖市教育厅（教委）,新疆生产建设兵团教育局,有关部门（单位）教育司（局），部属各高等学校、部省合建各高等学校：</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E185C">
        <w:rPr>
          <w:rFonts w:ascii="微软雅黑" w:eastAsia="微软雅黑" w:hAnsi="微软雅黑" w:cs="宋体" w:hint="eastAsia"/>
          <w:b/>
          <w:bCs/>
          <w:color w:val="4B4B4B"/>
          <w:kern w:val="0"/>
          <w:sz w:val="17"/>
          <w:szCs w:val="17"/>
          <w:bdr w:val="none" w:sz="0" w:space="0" w:color="auto" w:frame="1"/>
        </w:rPr>
        <w:t>一、总体要求</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（一）指导思想</w:t>
      </w:r>
    </w:p>
    <w:p w:rsidR="001E185C" w:rsidRPr="00EF691A" w:rsidRDefault="001E185C" w:rsidP="001E185C">
      <w:pPr>
        <w:widowControl/>
        <w:shd w:val="clear" w:color="auto" w:fill="FFFFFF"/>
        <w:jc w:val="left"/>
        <w:rPr>
          <w:rFonts w:ascii="微软雅黑" w:eastAsia="微软雅黑" w:hAnsi="微软雅黑" w:cs="宋体"/>
          <w:b/>
          <w:color w:val="FF0000"/>
          <w:kern w:val="0"/>
          <w:sz w:val="17"/>
          <w:szCs w:val="17"/>
        </w:rPr>
      </w:pPr>
      <w:r w:rsidRPr="001E185C">
        <w:rPr>
          <w:rFonts w:ascii="微软雅黑" w:eastAsia="微软雅黑" w:hAnsi="微软雅黑" w:cs="宋体" w:hint="eastAsia"/>
          <w:color w:val="4B4B4B"/>
          <w:kern w:val="0"/>
          <w:sz w:val="17"/>
          <w:szCs w:val="17"/>
        </w:rPr>
        <w:t xml:space="preserve">　</w:t>
      </w:r>
      <w:r w:rsidRPr="00EF691A">
        <w:rPr>
          <w:rFonts w:ascii="微软雅黑" w:eastAsia="微软雅黑" w:hAnsi="微软雅黑" w:cs="宋体" w:hint="eastAsia"/>
          <w:b/>
          <w:color w:val="FF0000"/>
          <w:kern w:val="0"/>
          <w:sz w:val="17"/>
          <w:szCs w:val="17"/>
        </w:rPr>
        <w:t xml:space="preserve">　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（二）总体目标</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（三）基本原则</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——坚持分类建设。依据高校办学定位和人才培养目标定位，建设适应创新型、复合型、应用型人才培养需要的一流本科课程，实现不同类型高校一流本科课程建设全覆盖。</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坚持扶强扶特。着力引导“双一流”建设高校、部省合建高校发挥引领示范作用，重点打造一批高水平课程，为卓越拔尖人才培养提供有力支撑。重点支持已有建设基础、取得明显教学成效的课程，让优的更优、强的更强。重视特色课程建设，实现一流本科课程多样化。</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E185C">
        <w:rPr>
          <w:rFonts w:ascii="微软雅黑" w:eastAsia="微软雅黑" w:hAnsi="微软雅黑" w:cs="宋体" w:hint="eastAsia"/>
          <w:b/>
          <w:bCs/>
          <w:color w:val="4B4B4B"/>
          <w:kern w:val="0"/>
          <w:sz w:val="17"/>
          <w:szCs w:val="17"/>
          <w:bdr w:val="none" w:sz="0" w:space="0" w:color="auto" w:frame="1"/>
        </w:rPr>
        <w:t>二、建设内容</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 xml:space="preserve">　（一）转变观念，理念新起来。以新理念引领一流本科课程建设</w:t>
      </w:r>
      <w:r w:rsidRPr="001E185C">
        <w:rPr>
          <w:rFonts w:ascii="微软雅黑" w:eastAsia="微软雅黑" w:hAnsi="微软雅黑" w:cs="宋体" w:hint="eastAsia"/>
          <w:color w:val="4B4B4B"/>
          <w:kern w:val="0"/>
          <w:sz w:val="17"/>
          <w:szCs w:val="17"/>
        </w:rPr>
        <w:t>。牢固树立“三个不合格”理念，竖起“高压线”，不抓本科教育的高校不是合格的高校，不重视本科教育的书记校长不是合格的书记校长，不参与本科教学的教授不是合格的教授。推动课程思政的理念形成广泛共识，构建全员全程全方位育人大格局。确立学生中心、产出导向、持续改进的理念，提升课程的高阶性，突出课程的创新性，增加课程的挑战度。</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（二）目标导向，课程优起来。</w:t>
      </w:r>
      <w:r w:rsidRPr="001E185C">
        <w:rPr>
          <w:rFonts w:ascii="微软雅黑" w:eastAsia="微软雅黑" w:hAnsi="微软雅黑" w:cs="宋体" w:hint="eastAsia"/>
          <w:color w:val="4B4B4B"/>
          <w:kern w:val="0"/>
          <w:sz w:val="17"/>
          <w:szCs w:val="17"/>
        </w:rPr>
        <w:t>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w:t>
      </w:r>
      <w:r w:rsidRPr="001E185C">
        <w:rPr>
          <w:rFonts w:ascii="微软雅黑" w:eastAsia="微软雅黑" w:hAnsi="微软雅黑" w:cs="宋体" w:hint="eastAsia"/>
          <w:color w:val="4B4B4B"/>
          <w:kern w:val="0"/>
          <w:sz w:val="17"/>
          <w:szCs w:val="17"/>
        </w:rPr>
        <w:lastRenderedPageBreak/>
        <w:t>学科理论融合、跨专业能力融合、多学科项目实践融合，建设一批培养创新型、复合型人才的一流本科课程。服务区域经济社会发展主战场，深化产教融合协同育人，建设一批培养应用型人才的一流本科课程。</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（三）提升能力，教师强起来。</w:t>
      </w:r>
      <w:r w:rsidRPr="001E185C">
        <w:rPr>
          <w:rFonts w:ascii="微软雅黑" w:eastAsia="微软雅黑" w:hAnsi="微软雅黑" w:cs="宋体" w:hint="eastAsia"/>
          <w:color w:val="4B4B4B"/>
          <w:kern w:val="0"/>
          <w:sz w:val="17"/>
          <w:szCs w:val="17"/>
        </w:rPr>
        <w:t>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（四）改革方法，课堂活起来</w:t>
      </w:r>
      <w:r w:rsidRPr="001E185C">
        <w:rPr>
          <w:rFonts w:ascii="微软雅黑" w:eastAsia="微软雅黑" w:hAnsi="微软雅黑" w:cs="宋体" w:hint="eastAsia"/>
          <w:color w:val="4B4B4B"/>
          <w:kern w:val="0"/>
          <w:sz w:val="17"/>
          <w:szCs w:val="17"/>
        </w:rPr>
        <w:t>。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（五）科学评价，学生忙起来。</w:t>
      </w:r>
      <w:r w:rsidRPr="001E185C">
        <w:rPr>
          <w:rFonts w:ascii="微软雅黑" w:eastAsia="微软雅黑" w:hAnsi="微软雅黑" w:cs="宋体" w:hint="eastAsia"/>
          <w:color w:val="4B4B4B"/>
          <w:kern w:val="0"/>
          <w:sz w:val="17"/>
          <w:szCs w:val="17"/>
        </w:rPr>
        <w:t>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（六）强化管理，制度严起来。</w:t>
      </w:r>
      <w:r w:rsidRPr="001E185C">
        <w:rPr>
          <w:rFonts w:ascii="微软雅黑" w:eastAsia="微软雅黑" w:hAnsi="微软雅黑" w:cs="宋体" w:hint="eastAsia"/>
          <w:color w:val="4B4B4B"/>
          <w:kern w:val="0"/>
          <w:sz w:val="17"/>
          <w:szCs w:val="17"/>
        </w:rPr>
        <w:t>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51142">
        <w:rPr>
          <w:rFonts w:ascii="微软雅黑" w:eastAsia="微软雅黑" w:hAnsi="微软雅黑" w:cs="宋体" w:hint="eastAsia"/>
          <w:b/>
          <w:color w:val="FF0000"/>
          <w:kern w:val="0"/>
          <w:sz w:val="17"/>
          <w:szCs w:val="17"/>
        </w:rPr>
        <w:t>（七）政策激励，教学热起来。</w:t>
      </w:r>
      <w:r w:rsidRPr="00151142">
        <w:rPr>
          <w:rFonts w:ascii="微软雅黑" w:eastAsia="微软雅黑" w:hAnsi="微软雅黑" w:cs="宋体" w:hint="eastAsia"/>
          <w:color w:val="FF0000"/>
          <w:kern w:val="0"/>
          <w:sz w:val="17"/>
          <w:szCs w:val="17"/>
        </w:rPr>
        <w:t>以</w:t>
      </w:r>
      <w:r w:rsidRPr="001E185C">
        <w:rPr>
          <w:rFonts w:ascii="微软雅黑" w:eastAsia="微软雅黑" w:hAnsi="微软雅黑" w:cs="宋体" w:hint="eastAsia"/>
          <w:color w:val="4B4B4B"/>
          <w:kern w:val="0"/>
          <w:sz w:val="17"/>
          <w:szCs w:val="17"/>
        </w:rPr>
        <w:t>教学贡献为核心内容制定激励政策。加大课程建设的支持力度，加大优秀课程和教师的奖励力度，加大教学业绩在专业技术职务评聘中的权重，营造重视本科课程改革与建设的良好氛围。</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E185C">
        <w:rPr>
          <w:rFonts w:ascii="微软雅黑" w:eastAsia="微软雅黑" w:hAnsi="微软雅黑" w:cs="宋体" w:hint="eastAsia"/>
          <w:b/>
          <w:bCs/>
          <w:color w:val="4B4B4B"/>
          <w:kern w:val="0"/>
          <w:sz w:val="17"/>
          <w:szCs w:val="17"/>
          <w:bdr w:val="none" w:sz="0" w:space="0" w:color="auto" w:frame="1"/>
        </w:rPr>
        <w:t>三、实施一流本科课程双万计划</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一）认定万门左右国家级一流本科课程。注重创新型、复合型、应用型人才培养课程建设的创新性、示范引领性和推广性，在高校培育建设基础上，从2019年到2021年，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w:t>
      </w:r>
      <w:r w:rsidRPr="001E185C">
        <w:rPr>
          <w:rFonts w:ascii="微软雅黑" w:eastAsia="微软雅黑" w:hAnsi="微软雅黑" w:cs="宋体" w:hint="eastAsia"/>
          <w:b/>
          <w:bCs/>
          <w:color w:val="4B4B4B"/>
          <w:kern w:val="0"/>
          <w:sz w:val="17"/>
          <w:szCs w:val="17"/>
          <w:bdr w:val="none" w:sz="0" w:space="0" w:color="auto" w:frame="1"/>
        </w:rPr>
        <w:t>四、组织管理</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（一）教育部负责统筹指导一流本科课程建设工作，组织有关专家和机构研究制定一流本科课程建设、应用与管理的相关标准规范。公布国家级一流本科课程推荐认定结果。</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（四）高等学校教学指导委员会要加强课程建设理论研究和分类指导，组织制订相关专业一流本科课程建设指南，引导高校汇聚优秀教师联合建设课程群，共享优质课程资源。</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lastRenderedPageBreak/>
        <w:t xml:space="preserve">　　（六）中央部门所属高校统筹利用“中央高校教育教学改革专项”等各类资源支持一流本科课程建设。地方高校统筹地方财政高等教育资金和中央支持地方高校改革发展资金支持一流本科课程建设。</w:t>
      </w:r>
    </w:p>
    <w:p w:rsidR="001E185C" w:rsidRPr="001E185C" w:rsidRDefault="001E185C" w:rsidP="001E185C">
      <w:pPr>
        <w:widowControl/>
        <w:shd w:val="clear" w:color="auto" w:fill="FFFFFF"/>
        <w:jc w:val="lef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 xml:space="preserve">　　附件：“双万计划”国家级一流本科课程推荐认定办法</w:t>
      </w:r>
    </w:p>
    <w:p w:rsidR="001E185C" w:rsidRPr="001E185C" w:rsidRDefault="001E185C" w:rsidP="001E185C">
      <w:pPr>
        <w:widowControl/>
        <w:shd w:val="clear" w:color="auto" w:fill="FFFFFF"/>
        <w:jc w:val="righ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教育部</w:t>
      </w:r>
    </w:p>
    <w:p w:rsidR="001E185C" w:rsidRPr="001E185C" w:rsidRDefault="001E185C" w:rsidP="001E185C">
      <w:pPr>
        <w:widowControl/>
        <w:shd w:val="clear" w:color="auto" w:fill="FFFFFF"/>
        <w:jc w:val="right"/>
        <w:rPr>
          <w:rFonts w:ascii="微软雅黑" w:eastAsia="微软雅黑" w:hAnsi="微软雅黑" w:cs="宋体"/>
          <w:color w:val="4B4B4B"/>
          <w:kern w:val="0"/>
          <w:sz w:val="17"/>
          <w:szCs w:val="17"/>
        </w:rPr>
      </w:pPr>
      <w:r w:rsidRPr="001E185C">
        <w:rPr>
          <w:rFonts w:ascii="微软雅黑" w:eastAsia="微软雅黑" w:hAnsi="微软雅黑" w:cs="宋体" w:hint="eastAsia"/>
          <w:color w:val="4B4B4B"/>
          <w:kern w:val="0"/>
          <w:sz w:val="17"/>
          <w:szCs w:val="17"/>
        </w:rPr>
        <w:t>2019年10月24日</w:t>
      </w:r>
    </w:p>
    <w:p w:rsidR="0073158E" w:rsidRDefault="0073158E"/>
    <w:sectPr w:rsidR="0073158E" w:rsidSect="00003F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F4A" w:rsidRDefault="00514F4A" w:rsidP="001E185C">
      <w:r>
        <w:separator/>
      </w:r>
    </w:p>
  </w:endnote>
  <w:endnote w:type="continuationSeparator" w:id="1">
    <w:p w:rsidR="00514F4A" w:rsidRDefault="00514F4A" w:rsidP="001E18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F4A" w:rsidRDefault="00514F4A" w:rsidP="001E185C">
      <w:r>
        <w:separator/>
      </w:r>
    </w:p>
  </w:footnote>
  <w:footnote w:type="continuationSeparator" w:id="1">
    <w:p w:rsidR="00514F4A" w:rsidRDefault="00514F4A" w:rsidP="001E18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185C"/>
    <w:rsid w:val="00003F90"/>
    <w:rsid w:val="00151142"/>
    <w:rsid w:val="001E185C"/>
    <w:rsid w:val="00514F4A"/>
    <w:rsid w:val="0073158E"/>
    <w:rsid w:val="00EF69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F90"/>
    <w:pPr>
      <w:widowControl w:val="0"/>
      <w:jc w:val="both"/>
    </w:pPr>
  </w:style>
  <w:style w:type="paragraph" w:styleId="1">
    <w:name w:val="heading 1"/>
    <w:basedOn w:val="a"/>
    <w:link w:val="1Char"/>
    <w:uiPriority w:val="9"/>
    <w:qFormat/>
    <w:rsid w:val="001E185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1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185C"/>
    <w:rPr>
      <w:sz w:val="18"/>
      <w:szCs w:val="18"/>
    </w:rPr>
  </w:style>
  <w:style w:type="paragraph" w:styleId="a4">
    <w:name w:val="footer"/>
    <w:basedOn w:val="a"/>
    <w:link w:val="Char0"/>
    <w:uiPriority w:val="99"/>
    <w:semiHidden/>
    <w:unhideWhenUsed/>
    <w:rsid w:val="001E185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185C"/>
    <w:rPr>
      <w:sz w:val="18"/>
      <w:szCs w:val="18"/>
    </w:rPr>
  </w:style>
  <w:style w:type="character" w:customStyle="1" w:styleId="1Char">
    <w:name w:val="标题 1 Char"/>
    <w:basedOn w:val="a0"/>
    <w:link w:val="1"/>
    <w:uiPriority w:val="9"/>
    <w:rsid w:val="001E185C"/>
    <w:rPr>
      <w:rFonts w:ascii="宋体" w:eastAsia="宋体" w:hAnsi="宋体" w:cs="宋体"/>
      <w:b/>
      <w:bCs/>
      <w:kern w:val="36"/>
      <w:sz w:val="48"/>
      <w:szCs w:val="48"/>
    </w:rPr>
  </w:style>
  <w:style w:type="paragraph" w:customStyle="1" w:styleId="moe-policy-wenhao">
    <w:name w:val="moe-policy-wenhao"/>
    <w:basedOn w:val="a"/>
    <w:rsid w:val="001E185C"/>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1E185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2498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2023-03-27T03:24:00Z</dcterms:created>
  <dcterms:modified xsi:type="dcterms:W3CDTF">2023-03-27T09:01:00Z</dcterms:modified>
</cp:coreProperties>
</file>